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74B9CA1A"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F63CA9">
              <w:rPr>
                <w:rFonts w:ascii="ＭＳ ゴシック" w:eastAsia="ＭＳ ゴシック" w:hAnsi="ＭＳ ゴシック" w:hint="eastAsia"/>
                <w:w w:val="200"/>
                <w:kern w:val="0"/>
                <w:sz w:val="24"/>
                <w:shd w:val="pct15" w:color="auto" w:fill="FFFFFF"/>
              </w:rPr>
              <w:t>12</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6E618E">
              <w:rPr>
                <w:rFonts w:eastAsia="ＭＳ ゴシック" w:hint="eastAsia"/>
                <w:bCs/>
                <w:kern w:val="0"/>
                <w:sz w:val="24"/>
              </w:rPr>
              <w:t>5</w:t>
            </w:r>
            <w:r w:rsidR="0005473A" w:rsidRPr="00007934">
              <w:rPr>
                <w:rFonts w:eastAsia="ＭＳ ゴシック"/>
                <w:bCs/>
                <w:kern w:val="0"/>
                <w:sz w:val="24"/>
              </w:rPr>
              <w:t>月</w:t>
            </w:r>
            <w:r w:rsidR="00F63CA9">
              <w:rPr>
                <w:rFonts w:eastAsia="ＭＳ ゴシック" w:hint="eastAsia"/>
                <w:bCs/>
                <w:kern w:val="0"/>
                <w:sz w:val="24"/>
              </w:rPr>
              <w:t>20</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697A39EF"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33AF0D6F" w:rsidR="00560C85" w:rsidRDefault="006E618E"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Pr>
          <w:rFonts w:ascii="BIZ UDPゴシック" w:eastAsia="BIZ UDPゴシック" w:hAnsi="BIZ UDPゴシック" w:hint="eastAsia"/>
          <w:w w:val="99"/>
          <w:sz w:val="26"/>
          <w:szCs w:val="26"/>
        </w:rPr>
        <w:t>【事務連絡】処遇改善等加算に関するFAQ（よくある質問）（第7版）について</w:t>
      </w:r>
      <w:r w:rsidR="00981048" w:rsidRPr="008667B7">
        <w:rPr>
          <w:rFonts w:ascii="BIZ UDPゴシック" w:eastAsia="BIZ UDPゴシック" w:hAnsi="BIZ UDPゴシック" w:hint="eastAsia"/>
          <w:w w:val="99"/>
          <w:sz w:val="26"/>
          <w:szCs w:val="26"/>
        </w:rPr>
        <w:t>（</w:t>
      </w:r>
      <w:r w:rsidR="00A9233D">
        <w:rPr>
          <w:rFonts w:ascii="BIZ UDPゴシック" w:eastAsia="BIZ UDPゴシック" w:hAnsi="BIZ UDPゴシック" w:hint="eastAsia"/>
          <w:w w:val="99"/>
          <w:sz w:val="26"/>
          <w:szCs w:val="26"/>
        </w:rPr>
        <w:t>こども家庭庁</w:t>
      </w:r>
      <w:r w:rsidR="00981048" w:rsidRPr="008667B7">
        <w:rPr>
          <w:rFonts w:ascii="BIZ UDPゴシック" w:eastAsia="BIZ UDPゴシック" w:hAnsi="BIZ UDPゴシック" w:hint="eastAsia"/>
          <w:w w:val="99"/>
          <w:sz w:val="26"/>
          <w:szCs w:val="26"/>
        </w:rPr>
        <w:t>）</w:t>
      </w:r>
      <w:r w:rsidR="001F2764" w:rsidRPr="001C3429">
        <w:rPr>
          <w:rFonts w:ascii="BIZ UDPゴシック" w:eastAsia="BIZ UDPゴシック" w:hAnsi="BIZ UDPゴシック"/>
          <w:w w:val="99"/>
          <w:sz w:val="26"/>
          <w:szCs w:val="26"/>
        </w:rPr>
        <w:tab/>
      </w:r>
      <w:r w:rsidR="004C5F30">
        <w:rPr>
          <w:rFonts w:ascii="BIZ UDPゴシック" w:eastAsia="BIZ UDPゴシック" w:hAnsi="BIZ UDPゴシック" w:hint="eastAsia"/>
          <w:w w:val="99"/>
          <w:sz w:val="26"/>
          <w:szCs w:val="26"/>
        </w:rPr>
        <w:t>1</w:t>
      </w:r>
    </w:p>
    <w:p w14:paraId="11B62852" w14:textId="30E08CFF" w:rsidR="00B665C6" w:rsidRPr="00B665C6" w:rsidRDefault="00B665C6" w:rsidP="00CA7676">
      <w:pPr>
        <w:pStyle w:val="a9"/>
        <w:numPr>
          <w:ilvl w:val="0"/>
          <w:numId w:val="14"/>
        </w:numPr>
        <w:tabs>
          <w:tab w:val="left" w:leader="middleDot" w:pos="9214"/>
          <w:tab w:val="left" w:pos="10080"/>
        </w:tabs>
        <w:spacing w:beforeLines="50" w:before="180" w:line="0" w:lineRule="atLeast"/>
        <w:ind w:leftChars="0" w:left="357" w:right="425" w:hanging="35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w:t>
      </w:r>
      <w:bookmarkStart w:id="2" w:name="_Hlk230022789"/>
      <w:r>
        <w:rPr>
          <w:rFonts w:ascii="BIZ UDPゴシック" w:eastAsia="BIZ UDPゴシック" w:hAnsi="BIZ UDPゴシック" w:hint="eastAsia"/>
          <w:w w:val="99"/>
          <w:sz w:val="26"/>
          <w:szCs w:val="26"/>
        </w:rPr>
        <w:t>学校等におけるアナフィラキシーショック</w:t>
      </w:r>
      <w:r w:rsidR="00E43F8D">
        <w:rPr>
          <w:rFonts w:ascii="BIZ UDPゴシック" w:eastAsia="BIZ UDPゴシック" w:hAnsi="BIZ UDPゴシック" w:hint="eastAsia"/>
          <w:w w:val="99"/>
          <w:sz w:val="26"/>
          <w:szCs w:val="26"/>
        </w:rPr>
        <w:t>時</w:t>
      </w:r>
      <w:r>
        <w:rPr>
          <w:rFonts w:ascii="BIZ UDPゴシック" w:eastAsia="BIZ UDPゴシック" w:hAnsi="BIZ UDPゴシック" w:hint="eastAsia"/>
          <w:w w:val="99"/>
          <w:sz w:val="26"/>
          <w:szCs w:val="26"/>
        </w:rPr>
        <w:t>のアドレナリン</w:t>
      </w:r>
      <w:r w:rsidR="001856F5">
        <w:rPr>
          <w:rFonts w:ascii="BIZ UDPゴシック" w:eastAsia="BIZ UDPゴシック" w:hAnsi="BIZ UDPゴシック" w:hint="eastAsia"/>
          <w:w w:val="99"/>
          <w:sz w:val="26"/>
          <w:szCs w:val="26"/>
        </w:rPr>
        <w:t>点鼻</w:t>
      </w:r>
      <w:r>
        <w:rPr>
          <w:rFonts w:ascii="BIZ UDPゴシック" w:eastAsia="BIZ UDPゴシック" w:hAnsi="BIZ UDPゴシック" w:hint="eastAsia"/>
          <w:w w:val="99"/>
          <w:sz w:val="26"/>
          <w:szCs w:val="26"/>
        </w:rPr>
        <w:t>液（ネフィー</w:t>
      </w:r>
      <w:r w:rsidRPr="00B665C6">
        <w:rPr>
          <w:rFonts w:ascii="BIZ UDPゴシック" w:eastAsia="BIZ UDPゴシック" w:hAnsi="BIZ UDPゴシック" w:hint="eastAsia"/>
          <w:w w:val="99"/>
          <w:sz w:val="26"/>
          <w:szCs w:val="26"/>
          <w:vertAlign w:val="superscript"/>
        </w:rPr>
        <w:t>®</w:t>
      </w:r>
      <w:r>
        <w:rPr>
          <w:rFonts w:ascii="BIZ UDPゴシック" w:eastAsia="BIZ UDPゴシック" w:hAnsi="BIZ UDPゴシック" w:hint="eastAsia"/>
          <w:w w:val="99"/>
          <w:sz w:val="26"/>
          <w:szCs w:val="26"/>
        </w:rPr>
        <w:t>）の投与およびてんかん発作時のジアゼパム点鼻液（スピジア</w:t>
      </w:r>
      <w:r w:rsidRPr="00E43F8D">
        <w:rPr>
          <w:rFonts w:ascii="BIZ UDPゴシック" w:eastAsia="BIZ UDPゴシック" w:hAnsi="BIZ UDPゴシック" w:hint="eastAsia"/>
          <w:w w:val="99"/>
          <w:sz w:val="28"/>
          <w:szCs w:val="28"/>
          <w:vertAlign w:val="superscript"/>
        </w:rPr>
        <w:t>®</w:t>
      </w:r>
      <w:r>
        <w:rPr>
          <w:rFonts w:ascii="BIZ UDPゴシック" w:eastAsia="BIZ UDPゴシック" w:hAnsi="BIZ UDPゴシック" w:hint="eastAsia"/>
          <w:w w:val="99"/>
          <w:sz w:val="26"/>
          <w:szCs w:val="26"/>
        </w:rPr>
        <w:t>）</w:t>
      </w:r>
      <w:r w:rsidR="00E43F8D">
        <w:rPr>
          <w:rFonts w:ascii="BIZ UDPゴシック" w:eastAsia="BIZ UDPゴシック" w:hAnsi="BIZ UDPゴシック" w:hint="eastAsia"/>
          <w:w w:val="99"/>
          <w:sz w:val="26"/>
          <w:szCs w:val="26"/>
        </w:rPr>
        <w:t>の投与</w:t>
      </w:r>
      <w:r>
        <w:rPr>
          <w:rFonts w:ascii="BIZ UDPゴシック" w:eastAsia="BIZ UDPゴシック" w:hAnsi="BIZ UDPゴシック" w:hint="eastAsia"/>
          <w:w w:val="99"/>
          <w:sz w:val="26"/>
          <w:szCs w:val="26"/>
        </w:rPr>
        <w:t>について</w:t>
      </w:r>
      <w:bookmarkEnd w:id="2"/>
      <w:r w:rsidRPr="008667B7">
        <w:rPr>
          <w:rFonts w:ascii="BIZ UDPゴシック" w:eastAsia="BIZ UDPゴシック" w:hAnsi="BIZ UDPゴシック" w:hint="eastAsia"/>
          <w:w w:val="99"/>
          <w:sz w:val="26"/>
          <w:szCs w:val="26"/>
        </w:rPr>
        <w:t>（</w:t>
      </w:r>
      <w:r>
        <w:rPr>
          <w:rFonts w:ascii="BIZ UDPゴシック" w:eastAsia="BIZ UDPゴシック" w:hAnsi="BIZ UDPゴシック" w:hint="eastAsia"/>
          <w:w w:val="99"/>
          <w:sz w:val="26"/>
          <w:szCs w:val="26"/>
        </w:rPr>
        <w:t>こども家庭庁</w:t>
      </w:r>
      <w:r w:rsidRPr="008667B7">
        <w:rPr>
          <w:rFonts w:ascii="BIZ UDPゴシック" w:eastAsia="BIZ UDPゴシック" w:hAnsi="BIZ UDPゴシック" w:hint="eastAsia"/>
          <w:w w:val="99"/>
          <w:sz w:val="26"/>
          <w:szCs w:val="26"/>
        </w:rPr>
        <w:t>）</w:t>
      </w:r>
      <w:r w:rsidRPr="001C3429">
        <w:rPr>
          <w:rFonts w:ascii="BIZ UDPゴシック" w:eastAsia="BIZ UDPゴシック" w:hAnsi="BIZ UDPゴシック"/>
          <w:w w:val="99"/>
          <w:sz w:val="26"/>
          <w:szCs w:val="26"/>
        </w:rPr>
        <w:tab/>
      </w:r>
      <w:r w:rsidR="00E43F8D">
        <w:rPr>
          <w:rFonts w:ascii="BIZ UDPゴシック" w:eastAsia="BIZ UDPゴシック" w:hAnsi="BIZ UDPゴシック" w:hint="eastAsia"/>
          <w:w w:val="99"/>
          <w:sz w:val="26"/>
          <w:szCs w:val="26"/>
        </w:rPr>
        <w:t>2</w:t>
      </w:r>
    </w:p>
    <w:p w14:paraId="5463D6BB" w14:textId="4E892944" w:rsidR="00007934" w:rsidRPr="003E7AAE" w:rsidRDefault="00007934" w:rsidP="00693FB8">
      <w:pPr>
        <w:snapToGrid w:val="0"/>
        <w:spacing w:beforeLines="75" w:before="270" w:afterLines="25" w:after="90" w:line="480" w:lineRule="auto"/>
        <w:rPr>
          <w:snapToGrid w:val="0"/>
        </w:rPr>
      </w:pPr>
      <w:bookmarkStart w:id="3" w:name="_Hlk36759458"/>
      <w:bookmarkStart w:id="4" w:name="_Hlk36052104"/>
      <w:bookmarkEnd w:id="1"/>
      <w:r w:rsidRPr="003E7AAE">
        <w:rPr>
          <w:snapToGrid w:val="0"/>
        </w:rPr>
        <w:t>-----------------------------------------------------------------------------------------------------------------------------------------</w:t>
      </w:r>
    </w:p>
    <w:bookmarkEnd w:id="3"/>
    <w:bookmarkEnd w:id="4"/>
    <w:p w14:paraId="5B3043D4" w14:textId="61141D38" w:rsidR="00C31F9C" w:rsidRPr="00CD3918" w:rsidRDefault="006E618E" w:rsidP="00CD3918">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【事務連絡】処遇改善等加算に関するFAQ（よくある質問）（第7版）について</w:t>
      </w:r>
      <w:r w:rsidR="00981048" w:rsidRPr="00CD3918">
        <w:rPr>
          <w:rFonts w:ascii="ＭＳ ゴシック" w:eastAsia="ＭＳ ゴシック" w:hAnsi="ＭＳ ゴシック" w:cs="Courier New" w:hint="eastAsia"/>
          <w:b/>
          <w:sz w:val="40"/>
          <w:szCs w:val="40"/>
        </w:rPr>
        <w:t>（</w:t>
      </w:r>
      <w:r w:rsidR="00A9233D" w:rsidRPr="00CD3918">
        <w:rPr>
          <w:rFonts w:ascii="ＭＳ ゴシック" w:eastAsia="ＭＳ ゴシック" w:hAnsi="ＭＳ ゴシック" w:cs="Courier New" w:hint="eastAsia"/>
          <w:b/>
          <w:sz w:val="40"/>
          <w:szCs w:val="40"/>
        </w:rPr>
        <w:t>こども家庭庁</w:t>
      </w:r>
      <w:r w:rsidR="00981048" w:rsidRPr="00CD3918">
        <w:rPr>
          <w:rFonts w:ascii="ＭＳ ゴシック" w:eastAsia="ＭＳ ゴシック" w:hAnsi="ＭＳ ゴシック" w:cs="Courier New" w:hint="eastAsia"/>
          <w:b/>
          <w:sz w:val="40"/>
          <w:szCs w:val="40"/>
        </w:rPr>
        <w:t>）</w:t>
      </w:r>
    </w:p>
    <w:p w14:paraId="092168C9" w14:textId="52AD8D6F" w:rsidR="00CD3918" w:rsidRDefault="00981048" w:rsidP="00CA7676">
      <w:pPr>
        <w:spacing w:beforeLines="100" w:before="360" w:afterLines="25" w:after="90" w:line="300" w:lineRule="auto"/>
        <w:ind w:firstLineChars="100" w:firstLine="240"/>
        <w:rPr>
          <w:rFonts w:cs="ＭＳ 明朝"/>
          <w:bCs/>
          <w:sz w:val="24"/>
        </w:rPr>
      </w:pPr>
      <w:r w:rsidRPr="005153F7">
        <w:rPr>
          <w:rFonts w:cs="ＭＳ 明朝" w:hint="eastAsia"/>
          <w:bCs/>
          <w:sz w:val="24"/>
        </w:rPr>
        <w:t>令和</w:t>
      </w:r>
      <w:r w:rsidR="00693FB8">
        <w:rPr>
          <w:rFonts w:cs="ＭＳ 明朝" w:hint="eastAsia"/>
          <w:bCs/>
          <w:sz w:val="24"/>
        </w:rPr>
        <w:t>8</w:t>
      </w:r>
      <w:r w:rsidRPr="005153F7">
        <w:rPr>
          <w:rFonts w:cs="ＭＳ 明朝" w:hint="eastAsia"/>
          <w:bCs/>
          <w:sz w:val="24"/>
        </w:rPr>
        <w:t>年</w:t>
      </w:r>
      <w:r w:rsidR="006E618E">
        <w:rPr>
          <w:rFonts w:cs="ＭＳ 明朝" w:hint="eastAsia"/>
          <w:bCs/>
          <w:sz w:val="24"/>
        </w:rPr>
        <w:t>5</w:t>
      </w:r>
      <w:r w:rsidRPr="005153F7">
        <w:rPr>
          <w:rFonts w:cs="ＭＳ 明朝" w:hint="eastAsia"/>
          <w:bCs/>
          <w:sz w:val="24"/>
        </w:rPr>
        <w:t>月</w:t>
      </w:r>
      <w:r w:rsidR="006E618E">
        <w:rPr>
          <w:rFonts w:cs="ＭＳ 明朝" w:hint="eastAsia"/>
          <w:bCs/>
          <w:sz w:val="24"/>
        </w:rPr>
        <w:t>15</w:t>
      </w:r>
      <w:r w:rsidRPr="005153F7">
        <w:rPr>
          <w:rFonts w:cs="ＭＳ 明朝" w:hint="eastAsia"/>
          <w:bCs/>
          <w:sz w:val="24"/>
        </w:rPr>
        <w:t>日、</w:t>
      </w:r>
      <w:r w:rsidR="006E618E">
        <w:rPr>
          <w:rFonts w:cs="ＭＳ 明朝" w:hint="eastAsia"/>
          <w:bCs/>
          <w:sz w:val="24"/>
        </w:rPr>
        <w:t>事務連絡「処遇改善加算に関する</w:t>
      </w:r>
      <w:r w:rsidR="006E618E">
        <w:rPr>
          <w:rFonts w:cs="ＭＳ 明朝" w:hint="eastAsia"/>
          <w:bCs/>
          <w:sz w:val="24"/>
        </w:rPr>
        <w:t>FAQ</w:t>
      </w:r>
      <w:r w:rsidR="006E618E">
        <w:rPr>
          <w:rFonts w:cs="ＭＳ 明朝" w:hint="eastAsia"/>
          <w:bCs/>
          <w:sz w:val="24"/>
        </w:rPr>
        <w:t>（よくある質問）（第</w:t>
      </w:r>
      <w:r w:rsidR="006E618E">
        <w:rPr>
          <w:rFonts w:cs="ＭＳ 明朝" w:hint="eastAsia"/>
          <w:bCs/>
          <w:sz w:val="24"/>
        </w:rPr>
        <w:t>7</w:t>
      </w:r>
      <w:r w:rsidR="006E618E">
        <w:rPr>
          <w:rFonts w:cs="ＭＳ 明朝" w:hint="eastAsia"/>
          <w:bCs/>
          <w:sz w:val="24"/>
        </w:rPr>
        <w:t>版）」が発出されました。</w:t>
      </w:r>
    </w:p>
    <w:p w14:paraId="6AF52CFB" w14:textId="4A6E2670" w:rsidR="006E618E" w:rsidRDefault="006E618E" w:rsidP="00CD3918">
      <w:pPr>
        <w:spacing w:beforeLines="50" w:before="180" w:afterLines="25" w:after="90" w:line="300" w:lineRule="auto"/>
        <w:ind w:firstLineChars="100" w:firstLine="240"/>
        <w:rPr>
          <w:rFonts w:cs="ＭＳ 明朝"/>
          <w:bCs/>
          <w:sz w:val="24"/>
        </w:rPr>
      </w:pPr>
      <w:r>
        <w:rPr>
          <w:rFonts w:cs="ＭＳ 明朝" w:hint="eastAsia"/>
          <w:bCs/>
          <w:sz w:val="24"/>
        </w:rPr>
        <w:t>今回の</w:t>
      </w:r>
      <w:r>
        <w:rPr>
          <w:rFonts w:cs="ＭＳ 明朝" w:hint="eastAsia"/>
          <w:bCs/>
          <w:sz w:val="24"/>
        </w:rPr>
        <w:t>FAQ</w:t>
      </w:r>
      <w:r>
        <w:rPr>
          <w:rFonts w:cs="ＭＳ 明朝" w:hint="eastAsia"/>
          <w:bCs/>
          <w:sz w:val="24"/>
        </w:rPr>
        <w:t>（第</w:t>
      </w:r>
      <w:r>
        <w:rPr>
          <w:rFonts w:cs="ＭＳ 明朝" w:hint="eastAsia"/>
          <w:bCs/>
          <w:sz w:val="24"/>
        </w:rPr>
        <w:t>7</w:t>
      </w:r>
      <w:r>
        <w:rPr>
          <w:rFonts w:cs="ＭＳ 明朝" w:hint="eastAsia"/>
          <w:bCs/>
          <w:sz w:val="24"/>
        </w:rPr>
        <w:t>版）では、№</w:t>
      </w:r>
      <w:r>
        <w:rPr>
          <w:rFonts w:cs="ＭＳ 明朝" w:hint="eastAsia"/>
          <w:bCs/>
          <w:sz w:val="24"/>
        </w:rPr>
        <w:t>96</w:t>
      </w:r>
      <w:r>
        <w:rPr>
          <w:rFonts w:cs="ＭＳ 明朝" w:hint="eastAsia"/>
          <w:bCs/>
          <w:sz w:val="24"/>
        </w:rPr>
        <w:t>「区分</w:t>
      </w:r>
      <w:r>
        <w:rPr>
          <w:rFonts w:cs="ＭＳ 明朝" w:hint="eastAsia"/>
          <w:bCs/>
          <w:sz w:val="24"/>
        </w:rPr>
        <w:t>2</w:t>
      </w:r>
      <w:r>
        <w:rPr>
          <w:rFonts w:cs="ＭＳ 明朝" w:hint="eastAsia"/>
          <w:bCs/>
          <w:sz w:val="24"/>
        </w:rPr>
        <w:t>・</w:t>
      </w:r>
      <w:r>
        <w:rPr>
          <w:rFonts w:cs="ＭＳ 明朝" w:hint="eastAsia"/>
          <w:bCs/>
          <w:sz w:val="24"/>
        </w:rPr>
        <w:t>3</w:t>
      </w:r>
      <w:r>
        <w:rPr>
          <w:rFonts w:cs="ＭＳ 明朝" w:hint="eastAsia"/>
          <w:bCs/>
          <w:sz w:val="24"/>
        </w:rPr>
        <w:t>の要件」として、</w:t>
      </w:r>
      <w:r w:rsidR="00B92DFB">
        <w:rPr>
          <w:rFonts w:cs="ＭＳ 明朝" w:hint="eastAsia"/>
          <w:bCs/>
          <w:sz w:val="24"/>
        </w:rPr>
        <w:t>「処遇改善等加算により賃金の特定の項目の額が増額となる分、その他の項目を下げて、実質的な賃金改善の趣旨が損なわれることがない」ようにすることが新たに記載</w:t>
      </w:r>
      <w:r>
        <w:rPr>
          <w:rFonts w:cs="ＭＳ 明朝" w:hint="eastAsia"/>
          <w:bCs/>
          <w:sz w:val="24"/>
        </w:rPr>
        <w:t>されるとともに、№</w:t>
      </w:r>
      <w:r>
        <w:rPr>
          <w:rFonts w:cs="ＭＳ 明朝" w:hint="eastAsia"/>
          <w:bCs/>
          <w:sz w:val="24"/>
        </w:rPr>
        <w:t>97</w:t>
      </w:r>
      <w:r>
        <w:rPr>
          <w:rFonts w:cs="ＭＳ 明朝" w:hint="eastAsia"/>
          <w:bCs/>
          <w:sz w:val="24"/>
        </w:rPr>
        <w:t>「国家公務員の給与改定に伴う公定価格における人件費の改定分」として、</w:t>
      </w:r>
      <w:r w:rsidR="00DC50F5">
        <w:rPr>
          <w:rFonts w:cs="ＭＳ 明朝" w:hint="eastAsia"/>
          <w:bCs/>
          <w:sz w:val="24"/>
        </w:rPr>
        <w:t>人件費の改定分にかかる</w:t>
      </w:r>
      <w:r w:rsidR="00B92DFB">
        <w:rPr>
          <w:rFonts w:cs="ＭＳ 明朝" w:hint="eastAsia"/>
          <w:bCs/>
          <w:sz w:val="24"/>
        </w:rPr>
        <w:t>拠出</w:t>
      </w:r>
      <w:r w:rsidR="00DC50F5">
        <w:rPr>
          <w:rFonts w:cs="ＭＳ 明朝" w:hint="eastAsia"/>
          <w:bCs/>
          <w:sz w:val="24"/>
        </w:rPr>
        <w:t>の内訳</w:t>
      </w:r>
      <w:r>
        <w:rPr>
          <w:rFonts w:cs="ＭＳ 明朝" w:hint="eastAsia"/>
          <w:bCs/>
          <w:sz w:val="24"/>
        </w:rPr>
        <w:t>について</w:t>
      </w:r>
      <w:r w:rsidR="00DC50F5">
        <w:rPr>
          <w:rFonts w:cs="ＭＳ 明朝" w:hint="eastAsia"/>
          <w:bCs/>
          <w:sz w:val="24"/>
        </w:rPr>
        <w:t>記載が</w:t>
      </w:r>
      <w:r>
        <w:rPr>
          <w:rFonts w:cs="ＭＳ 明朝" w:hint="eastAsia"/>
          <w:bCs/>
          <w:sz w:val="24"/>
        </w:rPr>
        <w:t>されています。</w:t>
      </w:r>
    </w:p>
    <w:p w14:paraId="4C78FD6B" w14:textId="5D93A3BF" w:rsidR="00CA7676" w:rsidRDefault="001C60F7" w:rsidP="00CA7676">
      <w:pPr>
        <w:spacing w:beforeLines="50" w:before="180" w:afterLines="25" w:after="90" w:line="300" w:lineRule="auto"/>
        <w:ind w:firstLineChars="100" w:firstLine="240"/>
        <w:rPr>
          <w:rFonts w:cs="ＭＳ 明朝"/>
          <w:bCs/>
          <w:sz w:val="24"/>
        </w:rPr>
      </w:pPr>
      <w:r>
        <w:rPr>
          <w:rFonts w:asciiTheme="minorEastAsia" w:eastAsiaTheme="minorEastAsia" w:hAnsiTheme="minorEastAsia" w:cs="ＭＳ 明朝"/>
          <w:bCs/>
          <w:noProof/>
          <w:color w:val="0000FF"/>
          <w:sz w:val="24"/>
          <w:u w:val="single"/>
        </w:rPr>
        <w:drawing>
          <wp:anchor distT="0" distB="0" distL="114300" distR="114300" simplePos="0" relativeHeight="251661312" behindDoc="0" locked="0" layoutInCell="1" allowOverlap="1" wp14:anchorId="5D10C115" wp14:editId="64806093">
            <wp:simplePos x="0" y="0"/>
            <wp:positionH relativeFrom="margin">
              <wp:posOffset>5290185</wp:posOffset>
            </wp:positionH>
            <wp:positionV relativeFrom="paragraph">
              <wp:posOffset>386715</wp:posOffset>
            </wp:positionV>
            <wp:extent cx="694690" cy="694690"/>
            <wp:effectExtent l="0" t="0" r="0" b="0"/>
            <wp:wrapNone/>
            <wp:docPr id="72515562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55622" name="図 2"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margin">
              <wp14:pctWidth>0</wp14:pctWidth>
            </wp14:sizeRelH>
            <wp14:sizeRelV relativeFrom="margin">
              <wp14:pctHeight>0</wp14:pctHeight>
            </wp14:sizeRelV>
          </wp:anchor>
        </w:drawing>
      </w:r>
      <w:r w:rsidR="006E618E">
        <w:rPr>
          <w:rFonts w:cs="ＭＳ 明朝" w:hint="eastAsia"/>
          <w:bCs/>
          <w:sz w:val="24"/>
        </w:rPr>
        <w:t>詳細は、こども家庭庁のホームページをご確認ください。</w:t>
      </w:r>
    </w:p>
    <w:p w14:paraId="4FC0AB2B" w14:textId="3AE42607" w:rsidR="006E618E" w:rsidRPr="00CA7676" w:rsidRDefault="006E618E" w:rsidP="00CA7676">
      <w:pPr>
        <w:spacing w:beforeLines="50" w:before="180" w:afterLines="25" w:after="90" w:line="300" w:lineRule="auto"/>
        <w:rPr>
          <w:rFonts w:cs="ＭＳ 明朝"/>
          <w:bCs/>
          <w:sz w:val="24"/>
        </w:rPr>
      </w:pPr>
      <w:r w:rsidRPr="006E618E">
        <w:rPr>
          <w:rFonts w:asciiTheme="minorEastAsia" w:eastAsiaTheme="minorEastAsia" w:hAnsiTheme="minorEastAsia" w:cs="ＭＳ 明朝" w:hint="eastAsia"/>
          <w:bCs/>
          <w:sz w:val="24"/>
        </w:rPr>
        <w:t>【処遇改善等加算に関する</w:t>
      </w:r>
      <w:r w:rsidRPr="006E618E">
        <w:rPr>
          <w:rFonts w:asciiTheme="minorHAnsi" w:eastAsiaTheme="minorEastAsia" w:hAnsiTheme="minorHAnsi" w:cs="ＭＳ 明朝"/>
          <w:bCs/>
          <w:sz w:val="24"/>
        </w:rPr>
        <w:t>FAQ</w:t>
      </w:r>
      <w:r w:rsidRPr="006E618E">
        <w:rPr>
          <w:rFonts w:asciiTheme="minorEastAsia" w:eastAsiaTheme="minorEastAsia" w:hAnsiTheme="minorEastAsia" w:cs="ＭＳ 明朝" w:hint="eastAsia"/>
          <w:bCs/>
          <w:sz w:val="24"/>
        </w:rPr>
        <w:t>（よくある質問）（第</w:t>
      </w:r>
      <w:r>
        <w:rPr>
          <w:rFonts w:asciiTheme="minorHAnsi" w:eastAsiaTheme="minorEastAsia" w:hAnsiTheme="minorHAnsi" w:cs="ＭＳ 明朝" w:hint="eastAsia"/>
          <w:bCs/>
          <w:sz w:val="24"/>
        </w:rPr>
        <w:t>7</w:t>
      </w:r>
      <w:r w:rsidRPr="006E618E">
        <w:rPr>
          <w:rFonts w:asciiTheme="minorEastAsia" w:eastAsiaTheme="minorEastAsia" w:hAnsiTheme="minorEastAsia" w:cs="ＭＳ 明朝" w:hint="eastAsia"/>
          <w:bCs/>
          <w:sz w:val="24"/>
        </w:rPr>
        <w:t xml:space="preserve">版）】　</w:t>
      </w:r>
    </w:p>
    <w:p w14:paraId="76D79CEC" w14:textId="43101E79" w:rsidR="00DC50F5" w:rsidRDefault="00000000" w:rsidP="00CA7676">
      <w:pPr>
        <w:snapToGrid w:val="0"/>
        <w:spacing w:beforeLines="25" w:before="90" w:line="300" w:lineRule="auto"/>
        <w:ind w:firstLineChars="100" w:firstLine="210"/>
        <w:rPr>
          <w:rFonts w:asciiTheme="minorEastAsia" w:eastAsiaTheme="minorEastAsia" w:hAnsiTheme="minorEastAsia" w:cs="ＭＳ 明朝"/>
          <w:bCs/>
          <w:sz w:val="24"/>
        </w:rPr>
      </w:pPr>
      <w:hyperlink r:id="rId10" w:history="1">
        <w:r w:rsidR="00CA7676" w:rsidRPr="00AF4D9C">
          <w:rPr>
            <w:rStyle w:val="a3"/>
            <w:rFonts w:asciiTheme="minorEastAsia" w:eastAsiaTheme="minorEastAsia" w:hAnsiTheme="minorEastAsia" w:cs="ＭＳ 明朝"/>
            <w:bCs/>
            <w:sz w:val="24"/>
          </w:rPr>
          <w:t>https://www.cfa.go.jp/policies/kokoseido/</w:t>
        </w:r>
      </w:hyperlink>
    </w:p>
    <w:p w14:paraId="24D6FC51" w14:textId="39A1C62D" w:rsidR="00BD397A" w:rsidRDefault="006E618E" w:rsidP="00CA7676">
      <w:pPr>
        <w:spacing w:beforeLines="25" w:before="90" w:afterLines="25" w:after="90"/>
        <w:ind w:leftChars="100" w:left="210"/>
        <w:rPr>
          <w:rFonts w:asciiTheme="minorEastAsia" w:eastAsiaTheme="minorEastAsia" w:hAnsiTheme="minorEastAsia" w:cs="ＭＳ 明朝"/>
          <w:bCs/>
          <w:sz w:val="18"/>
          <w:szCs w:val="18"/>
        </w:rPr>
      </w:pPr>
      <w:r w:rsidRPr="006E618E">
        <w:rPr>
          <w:rFonts w:asciiTheme="minorEastAsia" w:eastAsiaTheme="minorEastAsia" w:hAnsiTheme="minorEastAsia" w:cs="ＭＳ 明朝" w:hint="eastAsia"/>
          <w:bCs/>
          <w:sz w:val="18"/>
          <w:szCs w:val="18"/>
        </w:rPr>
        <w:t>ホーム ＞ 政策 ＞ 子ども・子育て支援制度 ＞ 処遇改善等加算に関する情報 ＞ 処遇改善等加算に関するFAQ（よくある質問）（第</w:t>
      </w:r>
      <w:r w:rsidR="00DC50F5">
        <w:rPr>
          <w:rFonts w:asciiTheme="minorEastAsia" w:eastAsiaTheme="minorEastAsia" w:hAnsiTheme="minorEastAsia" w:cs="ＭＳ 明朝" w:hint="eastAsia"/>
          <w:bCs/>
          <w:sz w:val="18"/>
          <w:szCs w:val="18"/>
        </w:rPr>
        <w:t>7</w:t>
      </w:r>
      <w:r w:rsidRPr="006E618E">
        <w:rPr>
          <w:rFonts w:asciiTheme="minorEastAsia" w:eastAsiaTheme="minorEastAsia" w:hAnsiTheme="minorEastAsia" w:cs="ＭＳ 明朝" w:hint="eastAsia"/>
          <w:bCs/>
          <w:sz w:val="18"/>
          <w:szCs w:val="18"/>
        </w:rPr>
        <w:t>版）</w:t>
      </w:r>
    </w:p>
    <w:p w14:paraId="7F018F65" w14:textId="770A7319" w:rsidR="005446AF" w:rsidRPr="00981048" w:rsidRDefault="00E43F8D" w:rsidP="005446AF">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lastRenderedPageBreak/>
        <w:t>【事務連絡】</w:t>
      </w:r>
      <w:r w:rsidRPr="00E43F8D">
        <w:rPr>
          <w:rFonts w:ascii="ＭＳ ゴシック" w:eastAsia="ＭＳ ゴシック" w:hAnsi="ＭＳ ゴシック" w:cs="Courier New" w:hint="eastAsia"/>
          <w:b/>
          <w:sz w:val="40"/>
          <w:szCs w:val="40"/>
        </w:rPr>
        <w:t>学校等におけるアナフィラキシーショック</w:t>
      </w:r>
      <w:r>
        <w:rPr>
          <w:rFonts w:ascii="ＭＳ ゴシック" w:eastAsia="ＭＳ ゴシック" w:hAnsi="ＭＳ ゴシック" w:cs="Courier New" w:hint="eastAsia"/>
          <w:b/>
          <w:sz w:val="40"/>
          <w:szCs w:val="40"/>
        </w:rPr>
        <w:t>時</w:t>
      </w:r>
      <w:r w:rsidRPr="00E43F8D">
        <w:rPr>
          <w:rFonts w:ascii="ＭＳ ゴシック" w:eastAsia="ＭＳ ゴシック" w:hAnsi="ＭＳ ゴシック" w:cs="Courier New" w:hint="eastAsia"/>
          <w:b/>
          <w:sz w:val="40"/>
          <w:szCs w:val="40"/>
        </w:rPr>
        <w:t>の</w:t>
      </w:r>
      <w:bookmarkStart w:id="5" w:name="_Hlk230022862"/>
      <w:r w:rsidRPr="00E43F8D">
        <w:rPr>
          <w:rFonts w:ascii="ＭＳ ゴシック" w:eastAsia="ＭＳ ゴシック" w:hAnsi="ＭＳ ゴシック" w:cs="Courier New" w:hint="eastAsia"/>
          <w:b/>
          <w:sz w:val="40"/>
          <w:szCs w:val="40"/>
        </w:rPr>
        <w:t>アドレナリン</w:t>
      </w:r>
      <w:r w:rsidR="001856F5">
        <w:rPr>
          <w:rFonts w:ascii="ＭＳ ゴシック" w:eastAsia="ＭＳ ゴシック" w:hAnsi="ＭＳ ゴシック" w:cs="Courier New" w:hint="eastAsia"/>
          <w:b/>
          <w:sz w:val="40"/>
          <w:szCs w:val="40"/>
        </w:rPr>
        <w:t>点鼻</w:t>
      </w:r>
      <w:r w:rsidRPr="00E43F8D">
        <w:rPr>
          <w:rFonts w:ascii="ＭＳ ゴシック" w:eastAsia="ＭＳ ゴシック" w:hAnsi="ＭＳ ゴシック" w:cs="Courier New" w:hint="eastAsia"/>
          <w:b/>
          <w:sz w:val="40"/>
          <w:szCs w:val="40"/>
        </w:rPr>
        <w:t>液（ネフィー®）の投与</w:t>
      </w:r>
      <w:bookmarkEnd w:id="5"/>
      <w:r w:rsidRPr="00E43F8D">
        <w:rPr>
          <w:rFonts w:ascii="ＭＳ ゴシック" w:eastAsia="ＭＳ ゴシック" w:hAnsi="ＭＳ ゴシック" w:cs="Courier New" w:hint="eastAsia"/>
          <w:b/>
          <w:sz w:val="40"/>
          <w:szCs w:val="40"/>
        </w:rPr>
        <w:t>およびてんかん</w:t>
      </w:r>
      <w:bookmarkStart w:id="6" w:name="_Hlk230022898"/>
      <w:r w:rsidRPr="00E43F8D">
        <w:rPr>
          <w:rFonts w:ascii="ＭＳ ゴシック" w:eastAsia="ＭＳ ゴシック" w:hAnsi="ＭＳ ゴシック" w:cs="Courier New" w:hint="eastAsia"/>
          <w:b/>
          <w:sz w:val="40"/>
          <w:szCs w:val="40"/>
        </w:rPr>
        <w:t>発作時のジアゼパム点鼻液（スピジア®）の投与について</w:t>
      </w:r>
      <w:bookmarkEnd w:id="6"/>
      <w:r w:rsidR="005446AF" w:rsidRPr="00981048">
        <w:rPr>
          <w:rFonts w:ascii="ＭＳ ゴシック" w:eastAsia="ＭＳ ゴシック" w:hAnsi="ＭＳ ゴシック" w:cs="Courier New" w:hint="eastAsia"/>
          <w:b/>
          <w:sz w:val="40"/>
          <w:szCs w:val="40"/>
        </w:rPr>
        <w:t>（</w:t>
      </w:r>
      <w:r w:rsidR="005446AF">
        <w:rPr>
          <w:rFonts w:ascii="ＭＳ ゴシック" w:eastAsia="ＭＳ ゴシック" w:hAnsi="ＭＳ ゴシック" w:cs="Courier New" w:hint="eastAsia"/>
          <w:b/>
          <w:sz w:val="40"/>
          <w:szCs w:val="40"/>
        </w:rPr>
        <w:t>こども家庭庁</w:t>
      </w:r>
      <w:r w:rsidR="005446AF" w:rsidRPr="00981048">
        <w:rPr>
          <w:rFonts w:ascii="ＭＳ ゴシック" w:eastAsia="ＭＳ ゴシック" w:hAnsi="ＭＳ ゴシック" w:cs="Courier New" w:hint="eastAsia"/>
          <w:b/>
          <w:sz w:val="40"/>
          <w:szCs w:val="40"/>
        </w:rPr>
        <w:t>）</w:t>
      </w:r>
    </w:p>
    <w:p w14:paraId="79E721E1" w14:textId="3E2B5F9C" w:rsidR="005446AF" w:rsidRDefault="005446AF" w:rsidP="00CA7676">
      <w:pPr>
        <w:spacing w:beforeLines="100" w:before="360" w:afterLines="25" w:after="90" w:line="300" w:lineRule="auto"/>
        <w:ind w:firstLineChars="100" w:firstLine="240"/>
        <w:rPr>
          <w:rFonts w:cs="ＭＳ 明朝"/>
          <w:bCs/>
          <w:sz w:val="24"/>
        </w:rPr>
      </w:pPr>
      <w:r w:rsidRPr="005153F7">
        <w:rPr>
          <w:rFonts w:cs="ＭＳ 明朝" w:hint="eastAsia"/>
          <w:bCs/>
          <w:sz w:val="24"/>
        </w:rPr>
        <w:t>令和</w:t>
      </w:r>
      <w:r>
        <w:rPr>
          <w:rFonts w:cs="ＭＳ 明朝" w:hint="eastAsia"/>
          <w:bCs/>
          <w:sz w:val="24"/>
        </w:rPr>
        <w:t>8</w:t>
      </w:r>
      <w:r w:rsidRPr="005153F7">
        <w:rPr>
          <w:rFonts w:cs="ＭＳ 明朝" w:hint="eastAsia"/>
          <w:bCs/>
          <w:sz w:val="24"/>
        </w:rPr>
        <w:t>年</w:t>
      </w:r>
      <w:r w:rsidR="00E43F8D">
        <w:rPr>
          <w:rFonts w:cs="ＭＳ 明朝" w:hint="eastAsia"/>
          <w:bCs/>
          <w:sz w:val="24"/>
        </w:rPr>
        <w:t>4</w:t>
      </w:r>
      <w:r w:rsidRPr="005153F7">
        <w:rPr>
          <w:rFonts w:cs="ＭＳ 明朝" w:hint="eastAsia"/>
          <w:bCs/>
          <w:sz w:val="24"/>
        </w:rPr>
        <w:t>月</w:t>
      </w:r>
      <w:r w:rsidR="00E43F8D">
        <w:rPr>
          <w:rFonts w:cs="ＭＳ 明朝" w:hint="eastAsia"/>
          <w:bCs/>
          <w:sz w:val="24"/>
        </w:rPr>
        <w:t>16</w:t>
      </w:r>
      <w:r w:rsidRPr="005153F7">
        <w:rPr>
          <w:rFonts w:cs="ＭＳ 明朝" w:hint="eastAsia"/>
          <w:bCs/>
          <w:sz w:val="24"/>
        </w:rPr>
        <w:t>日、</w:t>
      </w:r>
      <w:r>
        <w:rPr>
          <w:rFonts w:cs="ＭＳ 明朝" w:hint="eastAsia"/>
          <w:bCs/>
          <w:sz w:val="24"/>
        </w:rPr>
        <w:t>こども家庭庁より、事務連絡「</w:t>
      </w:r>
      <w:r w:rsidR="00E43F8D">
        <w:rPr>
          <w:rFonts w:cs="ＭＳ 明朝" w:hint="eastAsia"/>
          <w:bCs/>
          <w:sz w:val="24"/>
        </w:rPr>
        <w:t>学校等におけるアナフィラキシーショック時の</w:t>
      </w:r>
      <w:r w:rsidR="00E43F8D" w:rsidRPr="00E43F8D">
        <w:rPr>
          <w:rFonts w:cs="ＭＳ 明朝" w:hint="eastAsia"/>
          <w:bCs/>
          <w:sz w:val="24"/>
        </w:rPr>
        <w:t>アドレナリン液（ネフィー</w:t>
      </w:r>
      <w:r w:rsidR="00E43F8D" w:rsidRPr="00E43F8D">
        <w:rPr>
          <w:rFonts w:cs="ＭＳ 明朝" w:hint="eastAsia"/>
          <w:bCs/>
          <w:sz w:val="24"/>
          <w:vertAlign w:val="superscript"/>
        </w:rPr>
        <w:t>®</w:t>
      </w:r>
      <w:r w:rsidR="00E43F8D" w:rsidRPr="00E43F8D">
        <w:rPr>
          <w:rFonts w:cs="ＭＳ 明朝" w:hint="eastAsia"/>
          <w:bCs/>
          <w:sz w:val="24"/>
        </w:rPr>
        <w:t>）の投与</w:t>
      </w:r>
      <w:r w:rsidR="00E43F8D">
        <w:rPr>
          <w:rFonts w:cs="ＭＳ 明朝" w:hint="eastAsia"/>
          <w:bCs/>
          <w:sz w:val="24"/>
        </w:rPr>
        <w:t>について</w:t>
      </w:r>
      <w:r>
        <w:rPr>
          <w:rFonts w:cs="ＭＳ 明朝" w:hint="eastAsia"/>
          <w:bCs/>
          <w:sz w:val="24"/>
        </w:rPr>
        <w:t>」</w:t>
      </w:r>
      <w:r w:rsidR="00E43F8D">
        <w:rPr>
          <w:rFonts w:cs="ＭＳ 明朝" w:hint="eastAsia"/>
          <w:bCs/>
          <w:sz w:val="24"/>
        </w:rPr>
        <w:t>および事務連絡「学校等におけるてんかん</w:t>
      </w:r>
      <w:r w:rsidR="00E43F8D" w:rsidRPr="00E43F8D">
        <w:rPr>
          <w:rFonts w:cs="ＭＳ 明朝" w:hint="eastAsia"/>
          <w:bCs/>
          <w:sz w:val="24"/>
        </w:rPr>
        <w:t>発作時のジアゼパム点鼻液（スピジア</w:t>
      </w:r>
      <w:r w:rsidR="00E43F8D" w:rsidRPr="00E43F8D">
        <w:rPr>
          <w:rFonts w:cs="ＭＳ 明朝" w:hint="eastAsia"/>
          <w:bCs/>
          <w:sz w:val="24"/>
          <w:vertAlign w:val="superscript"/>
        </w:rPr>
        <w:t>®</w:t>
      </w:r>
      <w:r w:rsidR="00E43F8D" w:rsidRPr="00E43F8D">
        <w:rPr>
          <w:rFonts w:cs="ＭＳ 明朝" w:hint="eastAsia"/>
          <w:bCs/>
          <w:sz w:val="24"/>
        </w:rPr>
        <w:t>）の投与について</w:t>
      </w:r>
      <w:r w:rsidR="00E43F8D">
        <w:rPr>
          <w:rFonts w:cs="ＭＳ 明朝" w:hint="eastAsia"/>
          <w:bCs/>
          <w:sz w:val="24"/>
        </w:rPr>
        <w:t>」</w:t>
      </w:r>
      <w:r>
        <w:rPr>
          <w:rFonts w:cs="ＭＳ 明朝" w:hint="eastAsia"/>
          <w:bCs/>
          <w:sz w:val="24"/>
        </w:rPr>
        <w:t>が発出されました。</w:t>
      </w:r>
    </w:p>
    <w:p w14:paraId="359A2721" w14:textId="5C010F2D" w:rsidR="000C4309" w:rsidRDefault="000C4309" w:rsidP="005446AF">
      <w:pPr>
        <w:spacing w:beforeLines="50" w:before="180" w:afterLines="25" w:after="90" w:line="300" w:lineRule="auto"/>
        <w:ind w:firstLineChars="100" w:firstLine="240"/>
        <w:rPr>
          <w:rFonts w:cs="ＭＳ 明朝"/>
          <w:bCs/>
          <w:sz w:val="24"/>
        </w:rPr>
      </w:pPr>
      <w:r>
        <w:rPr>
          <w:rFonts w:cs="ＭＳ 明朝" w:hint="eastAsia"/>
          <w:bCs/>
          <w:sz w:val="24"/>
        </w:rPr>
        <w:t>これらの事務連絡は、保育所・認定こども園等において、子どもが</w:t>
      </w:r>
      <w:r w:rsidRPr="000C4309">
        <w:rPr>
          <w:rFonts w:ascii="BIZ UDPゴシック" w:eastAsia="BIZ UDPゴシック" w:hAnsi="BIZ UDPゴシック" w:cs="ＭＳ 明朝" w:hint="eastAsia"/>
          <w:bCs/>
          <w:sz w:val="24"/>
        </w:rPr>
        <w:t>「アナフィラキシーショックやてんかん発作を起こし、生命が危険な状態等である現場に居合わせた教職員またはスタッフが、アドレナリン点鼻液（「ネフィー</w:t>
      </w:r>
      <w:r w:rsidRPr="000C4309">
        <w:rPr>
          <w:rFonts w:ascii="BIZ UDPゴシック" w:eastAsia="BIZ UDPゴシック" w:hAnsi="BIZ UDPゴシック" w:cs="ＭＳ 明朝" w:hint="eastAsia"/>
          <w:bCs/>
          <w:sz w:val="24"/>
          <w:vertAlign w:val="superscript"/>
        </w:rPr>
        <w:t>®</w:t>
      </w:r>
      <w:r w:rsidRPr="000C4309">
        <w:rPr>
          <w:rFonts w:ascii="BIZ UDPゴシック" w:eastAsia="BIZ UDPゴシック" w:hAnsi="BIZ UDPゴシック" w:cs="ＭＳ 明朝" w:hint="eastAsia"/>
          <w:bCs/>
          <w:sz w:val="24"/>
        </w:rPr>
        <w:t>」）やジアゼパム点鼻薬（スピジア</w:t>
      </w:r>
      <w:r w:rsidRPr="000C4309">
        <w:rPr>
          <w:rFonts w:ascii="BIZ UDPゴシック" w:eastAsia="BIZ UDPゴシック" w:hAnsi="BIZ UDPゴシック" w:cs="ＭＳ 明朝" w:hint="eastAsia"/>
          <w:bCs/>
          <w:sz w:val="24"/>
          <w:vertAlign w:val="superscript"/>
        </w:rPr>
        <w:t>®</w:t>
      </w:r>
      <w:r w:rsidRPr="000C4309">
        <w:rPr>
          <w:rFonts w:ascii="BIZ UDPゴシック" w:eastAsia="BIZ UDPゴシック" w:hAnsi="BIZ UDPゴシック" w:cs="ＭＳ 明朝" w:hint="eastAsia"/>
          <w:bCs/>
          <w:sz w:val="24"/>
        </w:rPr>
        <w:t>）を投与する」</w:t>
      </w:r>
      <w:r w:rsidRPr="00CA7676">
        <w:rPr>
          <w:rFonts w:asciiTheme="minorEastAsia" w:eastAsiaTheme="minorEastAsia" w:hAnsiTheme="minorEastAsia" w:cs="ＭＳ 明朝" w:hint="eastAsia"/>
          <w:bCs/>
          <w:sz w:val="24"/>
        </w:rPr>
        <w:t>こと</w:t>
      </w:r>
      <w:r>
        <w:rPr>
          <w:rFonts w:cs="ＭＳ 明朝" w:hint="eastAsia"/>
          <w:bCs/>
          <w:sz w:val="24"/>
        </w:rPr>
        <w:t>について、こども家庭庁および文部科学省が厚生労働省医政局医事課に照会を行い回答が示された内容となっています。</w:t>
      </w:r>
    </w:p>
    <w:p w14:paraId="3A9AF612" w14:textId="324CF876" w:rsidR="008D3A19" w:rsidRDefault="004229BD" w:rsidP="005446AF">
      <w:pPr>
        <w:spacing w:beforeLines="50" w:before="180" w:afterLines="25" w:after="90" w:line="300" w:lineRule="auto"/>
        <w:ind w:firstLineChars="100" w:firstLine="240"/>
        <w:rPr>
          <w:rFonts w:cs="ＭＳ 明朝"/>
          <w:bCs/>
          <w:sz w:val="24"/>
        </w:rPr>
      </w:pPr>
      <w:r>
        <w:rPr>
          <w:rFonts w:cs="ＭＳ 明朝" w:hint="eastAsia"/>
          <w:bCs/>
          <w:sz w:val="24"/>
        </w:rPr>
        <w:t>それぞれの回答を受け、児童生徒等およびその保護者から、点鼻液の投与について依頼があった場合について</w:t>
      </w:r>
      <w:r w:rsidR="008E0D50">
        <w:rPr>
          <w:rFonts w:cs="ＭＳ 明朝" w:hint="eastAsia"/>
          <w:bCs/>
          <w:sz w:val="24"/>
        </w:rPr>
        <w:t>整理されていますので、別添の事務連絡をご確認ください。</w:t>
      </w:r>
    </w:p>
    <w:p w14:paraId="3BDF6259" w14:textId="3B3BC4BA" w:rsidR="008E0D50" w:rsidRDefault="008E0D50" w:rsidP="008D3A19">
      <w:pPr>
        <w:spacing w:beforeLines="50" w:before="180" w:afterLines="25" w:after="90" w:line="300" w:lineRule="auto"/>
        <w:ind w:firstLineChars="100" w:firstLine="240"/>
        <w:rPr>
          <w:rFonts w:cs="ＭＳ 明朝"/>
          <w:bCs/>
          <w:sz w:val="24"/>
        </w:rPr>
      </w:pPr>
      <w:r>
        <w:rPr>
          <w:rFonts w:cs="ＭＳ 明朝" w:hint="eastAsia"/>
          <w:bCs/>
          <w:sz w:val="24"/>
        </w:rPr>
        <w:t>医療機関との連携や体制整備に当たっては、「保育所におけるアレルギー対応ガイドライン（</w:t>
      </w:r>
      <w:r>
        <w:rPr>
          <w:rFonts w:cs="ＭＳ 明朝" w:hint="eastAsia"/>
          <w:bCs/>
          <w:sz w:val="24"/>
        </w:rPr>
        <w:t>2019</w:t>
      </w:r>
      <w:r>
        <w:rPr>
          <w:rFonts w:cs="ＭＳ 明朝" w:hint="eastAsia"/>
          <w:bCs/>
          <w:sz w:val="24"/>
        </w:rPr>
        <w:t>年改訂版）」や</w:t>
      </w:r>
      <w:r w:rsidR="008D3A19">
        <w:rPr>
          <w:rFonts w:cs="ＭＳ 明朝" w:hint="eastAsia"/>
          <w:bCs/>
          <w:sz w:val="24"/>
        </w:rPr>
        <w:t>公益</w:t>
      </w:r>
      <w:r>
        <w:rPr>
          <w:rFonts w:cs="ＭＳ 明朝" w:hint="eastAsia"/>
          <w:bCs/>
          <w:sz w:val="24"/>
        </w:rPr>
        <w:t>財団法人日本学校保健会作成の『学校におけるアレルギー疾患に対する取組ガイドライン（令和元年度改訂）』『てんかん及び重症の低血糖への対応における学校と医療機関等の連携に係る好事例集』</w:t>
      </w:r>
      <w:r w:rsidR="008D3A19">
        <w:rPr>
          <w:rFonts w:cs="ＭＳ 明朝" w:hint="eastAsia"/>
          <w:bCs/>
          <w:sz w:val="24"/>
        </w:rPr>
        <w:t>をご参照ください。</w:t>
      </w:r>
    </w:p>
    <w:p w14:paraId="5A2F3864" w14:textId="75DBCB80" w:rsidR="00CA7676" w:rsidRDefault="00CA7676" w:rsidP="008D3A19">
      <w:pPr>
        <w:spacing w:beforeLines="50" w:before="180" w:afterLines="25" w:after="90" w:line="300" w:lineRule="auto"/>
        <w:ind w:firstLineChars="100" w:firstLine="240"/>
        <w:rPr>
          <w:rFonts w:cs="ＭＳ 明朝"/>
          <w:bCs/>
          <w:sz w:val="24"/>
        </w:rPr>
      </w:pPr>
    </w:p>
    <w:p w14:paraId="37B6F930" w14:textId="7EF6DBDF" w:rsidR="008D3A19" w:rsidRDefault="0002040F" w:rsidP="008D3A19">
      <w:pPr>
        <w:spacing w:beforeLines="50" w:before="180" w:afterLines="25" w:after="90" w:line="300" w:lineRule="auto"/>
        <w:ind w:firstLineChars="100" w:firstLine="240"/>
        <w:rPr>
          <w:rFonts w:cs="ＭＳ 明朝"/>
          <w:bCs/>
          <w:sz w:val="24"/>
        </w:rPr>
      </w:pPr>
      <w:r>
        <w:rPr>
          <w:rFonts w:cs="ＭＳ 明朝" w:hint="eastAsia"/>
          <w:bCs/>
          <w:noProof/>
          <w:sz w:val="24"/>
        </w:rPr>
        <mc:AlternateContent>
          <mc:Choice Requires="wps">
            <w:drawing>
              <wp:anchor distT="0" distB="0" distL="114300" distR="114300" simplePos="0" relativeHeight="251659264" behindDoc="0" locked="0" layoutInCell="1" allowOverlap="1" wp14:anchorId="4C9401D8" wp14:editId="5F5E0514">
                <wp:simplePos x="0" y="0"/>
                <wp:positionH relativeFrom="margin">
                  <wp:align>center</wp:align>
                </wp:positionH>
                <wp:positionV relativeFrom="paragraph">
                  <wp:posOffset>208915</wp:posOffset>
                </wp:positionV>
                <wp:extent cx="6543675" cy="1828800"/>
                <wp:effectExtent l="0" t="0" r="28575" b="342900"/>
                <wp:wrapNone/>
                <wp:docPr id="1724867768" name="吹き出し: 角を丸めた四角形 1"/>
                <wp:cNvGraphicFramePr/>
                <a:graphic xmlns:a="http://schemas.openxmlformats.org/drawingml/2006/main">
                  <a:graphicData uri="http://schemas.microsoft.com/office/word/2010/wordprocessingShape">
                    <wps:wsp>
                      <wps:cNvSpPr/>
                      <wps:spPr>
                        <a:xfrm>
                          <a:off x="0" y="0"/>
                          <a:ext cx="6543675" cy="1828800"/>
                        </a:xfrm>
                        <a:prstGeom prst="wedgeRoundRectCallout">
                          <a:avLst>
                            <a:gd name="adj1" fmla="val -309"/>
                            <a:gd name="adj2" fmla="val 67188"/>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1D186A0" w14:textId="452FE4DA" w:rsidR="008D3A19" w:rsidRDefault="008D3A19" w:rsidP="000204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9401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0;margin-top:16.45pt;width:515.25pt;height:2in;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" adj="10733,25313" filled="f" strokecolor="#0a121c [484]" strokeweight="2pt">
                <v:textbox>
                  <w:txbxContent>
                    <w:p w14:paraId="01D186A0" w14:textId="452FE4DA" w:rsidR="008D3A19" w:rsidRDefault="008D3A19" w:rsidP="0002040F"/>
                  </w:txbxContent>
                </v:textbox>
                <w10:wrap anchorx="margin"/>
              </v:shape>
            </w:pict>
          </mc:Fallback>
        </mc:AlternateContent>
      </w:r>
    </w:p>
    <w:p w14:paraId="69BDB8CB" w14:textId="05111E3F" w:rsidR="008D3A19" w:rsidRDefault="008D3A19" w:rsidP="008D3A19">
      <w:pPr>
        <w:ind w:firstLineChars="100" w:firstLine="240"/>
        <w:rPr>
          <w:rFonts w:cs="ＭＳ 明朝"/>
          <w:bCs/>
          <w:sz w:val="24"/>
        </w:rPr>
      </w:pPr>
      <w:r>
        <w:rPr>
          <w:rFonts w:cs="ＭＳ 明朝" w:hint="eastAsia"/>
          <w:bCs/>
          <w:sz w:val="24"/>
        </w:rPr>
        <w:t>なお、本会では「アレルギー事故防止のための保育施設の組織づくり」等について、『保育施設における感染症の知識と対応（</w:t>
      </w:r>
      <w:r>
        <w:rPr>
          <w:rFonts w:cs="ＭＳ 明朝" w:hint="eastAsia"/>
          <w:bCs/>
          <w:sz w:val="24"/>
        </w:rPr>
        <w:t>2023</w:t>
      </w:r>
      <w:r>
        <w:rPr>
          <w:rFonts w:cs="ＭＳ 明朝" w:hint="eastAsia"/>
          <w:bCs/>
          <w:sz w:val="24"/>
        </w:rPr>
        <w:t>年版）』にて解説しています。子どもの安全を守るためにも、ぜひご活用ください。</w:t>
      </w:r>
    </w:p>
    <w:p w14:paraId="0ADD5671" w14:textId="77777777" w:rsidR="008D3A19" w:rsidRDefault="008D3A19" w:rsidP="008D3A19">
      <w:pPr>
        <w:ind w:firstLineChars="100" w:firstLine="240"/>
        <w:rPr>
          <w:rFonts w:cs="ＭＳ 明朝"/>
          <w:bCs/>
          <w:sz w:val="24"/>
        </w:rPr>
      </w:pPr>
    </w:p>
    <w:p w14:paraId="15DABC2C" w14:textId="7AF508FB" w:rsidR="008D3A19" w:rsidRDefault="008D3A19" w:rsidP="008D3A19">
      <w:pPr>
        <w:rPr>
          <w:rFonts w:cs="ＭＳ 明朝"/>
          <w:bCs/>
          <w:sz w:val="24"/>
        </w:rPr>
      </w:pPr>
      <w:r>
        <w:rPr>
          <w:rFonts w:cs="ＭＳ 明朝" w:hint="eastAsia"/>
          <w:bCs/>
          <w:sz w:val="24"/>
        </w:rPr>
        <w:t>【『保育施設における感染症の知識と対応（</w:t>
      </w:r>
      <w:r>
        <w:rPr>
          <w:rFonts w:cs="ＭＳ 明朝" w:hint="eastAsia"/>
          <w:bCs/>
          <w:sz w:val="24"/>
        </w:rPr>
        <w:t>2023</w:t>
      </w:r>
      <w:r>
        <w:rPr>
          <w:rFonts w:cs="ＭＳ 明朝" w:hint="eastAsia"/>
          <w:bCs/>
          <w:sz w:val="24"/>
        </w:rPr>
        <w:t>年版）』</w:t>
      </w:r>
      <w:r w:rsidR="0002040F">
        <w:rPr>
          <w:rFonts w:cs="ＭＳ 明朝" w:hint="eastAsia"/>
          <w:bCs/>
          <w:sz w:val="24"/>
        </w:rPr>
        <w:t>のご注文</w:t>
      </w:r>
      <w:r>
        <w:rPr>
          <w:rFonts w:cs="ＭＳ 明朝" w:hint="eastAsia"/>
          <w:bCs/>
          <w:sz w:val="24"/>
        </w:rPr>
        <w:t>はこちらから！</w:t>
      </w:r>
      <w:r>
        <w:rPr>
          <w:rFonts w:cs="ＭＳ 明朝" w:hint="eastAsia"/>
          <w:bCs/>
          <w:sz w:val="24"/>
        </w:rPr>
        <w:t xml:space="preserve"> </w:t>
      </w:r>
      <w:r>
        <w:rPr>
          <w:rFonts w:cs="ＭＳ 明朝" w:hint="eastAsia"/>
          <w:bCs/>
          <w:sz w:val="24"/>
        </w:rPr>
        <w:t>】</w:t>
      </w:r>
    </w:p>
    <w:p w14:paraId="5E97F39F" w14:textId="0CEB3B33" w:rsidR="008D3A19" w:rsidRDefault="00000000" w:rsidP="008D3A19">
      <w:pPr>
        <w:rPr>
          <w:rFonts w:cs="ＭＳ 明朝"/>
          <w:bCs/>
          <w:sz w:val="24"/>
        </w:rPr>
      </w:pPr>
      <w:hyperlink r:id="rId11" w:history="1">
        <w:r w:rsidR="008D3A19" w:rsidRPr="002136EE">
          <w:rPr>
            <w:rStyle w:val="a3"/>
            <w:rFonts w:cs="ＭＳ 明朝"/>
            <w:bCs/>
            <w:sz w:val="24"/>
          </w:rPr>
          <w:t>https://www.zenhokyo.gr.jp/publications/</w:t>
        </w:r>
      </w:hyperlink>
    </w:p>
    <w:p w14:paraId="4FC04CD4" w14:textId="374ADAC9" w:rsidR="008D3A19" w:rsidRPr="008D3A19" w:rsidRDefault="008D3A19" w:rsidP="004229BD">
      <w:pPr>
        <w:spacing w:beforeLines="50" w:before="180" w:afterLines="25" w:after="90" w:line="300" w:lineRule="auto"/>
        <w:rPr>
          <w:rFonts w:cs="ＭＳ 明朝"/>
          <w:bCs/>
          <w:sz w:val="24"/>
        </w:rPr>
      </w:pPr>
      <w:r>
        <w:rPr>
          <w:rFonts w:asciiTheme="minorEastAsia" w:eastAsiaTheme="minorEastAsia" w:hAnsiTheme="minorEastAsia" w:cstheme="minorBidi"/>
          <w:noProof/>
          <w:sz w:val="16"/>
          <w:szCs w:val="18"/>
        </w:rPr>
        <w:drawing>
          <wp:anchor distT="0" distB="0" distL="114300" distR="114300" simplePos="0" relativeHeight="251660288" behindDoc="0" locked="0" layoutInCell="1" allowOverlap="1" wp14:anchorId="7CD91AF6" wp14:editId="08C83F33">
            <wp:simplePos x="0" y="0"/>
            <wp:positionH relativeFrom="column">
              <wp:posOffset>4556759</wp:posOffset>
            </wp:positionH>
            <wp:positionV relativeFrom="paragraph">
              <wp:posOffset>104140</wp:posOffset>
            </wp:positionV>
            <wp:extent cx="1400175" cy="1390149"/>
            <wp:effectExtent l="0" t="0" r="0" b="635"/>
            <wp:wrapNone/>
            <wp:docPr id="826352546" name="図 2"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52546" name="図 2" descr="ロゴ&#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4462" cy="1394405"/>
                    </a:xfrm>
                    <a:prstGeom prst="rect">
                      <a:avLst/>
                    </a:prstGeom>
                  </pic:spPr>
                </pic:pic>
              </a:graphicData>
            </a:graphic>
            <wp14:sizeRelH relativeFrom="margin">
              <wp14:pctWidth>0</wp14:pctWidth>
            </wp14:sizeRelH>
            <wp14:sizeRelV relativeFrom="margin">
              <wp14:pctHeight>0</wp14:pctHeight>
            </wp14:sizeRelV>
          </wp:anchor>
        </w:drawing>
      </w:r>
    </w:p>
    <w:p w14:paraId="04500B6E" w14:textId="7C342BC8" w:rsidR="005446AF" w:rsidRPr="00E43F8D" w:rsidRDefault="005446AF" w:rsidP="006E618E">
      <w:pPr>
        <w:spacing w:beforeLines="25" w:before="90" w:afterLines="25" w:after="90" w:line="300" w:lineRule="auto"/>
        <w:ind w:firstLineChars="100" w:firstLine="160"/>
        <w:rPr>
          <w:rFonts w:asciiTheme="minorEastAsia" w:eastAsiaTheme="minorEastAsia" w:hAnsiTheme="minorEastAsia" w:cstheme="minorBidi"/>
          <w:sz w:val="16"/>
          <w:szCs w:val="18"/>
        </w:rPr>
      </w:pPr>
    </w:p>
    <w:sectPr w:rsidR="005446AF" w:rsidRPr="00E43F8D" w:rsidSect="00C6395C">
      <w:footerReference w:type="default" r:id="rId13"/>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EB41D" w14:textId="77777777" w:rsidR="00E965E9" w:rsidRDefault="00E965E9" w:rsidP="00AC6D2B">
      <w:r>
        <w:separator/>
      </w:r>
    </w:p>
  </w:endnote>
  <w:endnote w:type="continuationSeparator" w:id="0">
    <w:p w14:paraId="3F6D237D" w14:textId="77777777" w:rsidR="00E965E9" w:rsidRDefault="00E965E9"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96AFB" w14:textId="77777777" w:rsidR="00E965E9" w:rsidRDefault="00E965E9" w:rsidP="00AC6D2B">
      <w:r>
        <w:separator/>
      </w:r>
    </w:p>
  </w:footnote>
  <w:footnote w:type="continuationSeparator" w:id="0">
    <w:p w14:paraId="23E00AEB" w14:textId="77777777" w:rsidR="00E965E9" w:rsidRDefault="00E965E9"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4A86D33"/>
    <w:multiLevelType w:val="hybridMultilevel"/>
    <w:tmpl w:val="2244F146"/>
    <w:lvl w:ilvl="0" w:tplc="21AAE83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053076"/>
    <w:multiLevelType w:val="hybridMultilevel"/>
    <w:tmpl w:val="D4F08E30"/>
    <w:lvl w:ilvl="0" w:tplc="21AAE83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8"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5"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8"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9E14CF"/>
    <w:multiLevelType w:val="hybridMultilevel"/>
    <w:tmpl w:val="16A86886"/>
    <w:lvl w:ilvl="0" w:tplc="1584F0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7"/>
  </w:num>
  <w:num w:numId="3" w16cid:durableId="98721559">
    <w:abstractNumId w:val="14"/>
  </w:num>
  <w:num w:numId="4" w16cid:durableId="1460607999">
    <w:abstractNumId w:val="15"/>
  </w:num>
  <w:num w:numId="5" w16cid:durableId="468934601">
    <w:abstractNumId w:val="12"/>
  </w:num>
  <w:num w:numId="6" w16cid:durableId="1453404072">
    <w:abstractNumId w:val="18"/>
  </w:num>
  <w:num w:numId="7" w16cid:durableId="1767531212">
    <w:abstractNumId w:val="10"/>
  </w:num>
  <w:num w:numId="8" w16cid:durableId="1733231875">
    <w:abstractNumId w:val="7"/>
  </w:num>
  <w:num w:numId="9" w16cid:durableId="842162525">
    <w:abstractNumId w:val="13"/>
  </w:num>
  <w:num w:numId="10" w16cid:durableId="1188639701">
    <w:abstractNumId w:val="11"/>
  </w:num>
  <w:num w:numId="11" w16cid:durableId="1238593641">
    <w:abstractNumId w:val="8"/>
  </w:num>
  <w:num w:numId="12" w16cid:durableId="1294867076">
    <w:abstractNumId w:val="19"/>
  </w:num>
  <w:num w:numId="13" w16cid:durableId="1402755557">
    <w:abstractNumId w:val="2"/>
  </w:num>
  <w:num w:numId="14" w16cid:durableId="2144762265">
    <w:abstractNumId w:val="20"/>
  </w:num>
  <w:num w:numId="15" w16cid:durableId="1560556551">
    <w:abstractNumId w:val="1"/>
  </w:num>
  <w:num w:numId="16" w16cid:durableId="1111627838">
    <w:abstractNumId w:val="24"/>
  </w:num>
  <w:num w:numId="17" w16cid:durableId="1069570379">
    <w:abstractNumId w:val="25"/>
  </w:num>
  <w:num w:numId="18" w16cid:durableId="1161194678">
    <w:abstractNumId w:val="16"/>
  </w:num>
  <w:num w:numId="19" w16cid:durableId="143662070">
    <w:abstractNumId w:val="3"/>
  </w:num>
  <w:num w:numId="20" w16cid:durableId="451751705">
    <w:abstractNumId w:val="22"/>
  </w:num>
  <w:num w:numId="21" w16cid:durableId="1489399791">
    <w:abstractNumId w:val="16"/>
  </w:num>
  <w:num w:numId="22" w16cid:durableId="1143738867">
    <w:abstractNumId w:val="21"/>
  </w:num>
  <w:num w:numId="23" w16cid:durableId="529102292">
    <w:abstractNumId w:val="22"/>
  </w:num>
  <w:num w:numId="24" w16cid:durableId="1683897613">
    <w:abstractNumId w:val="9"/>
  </w:num>
  <w:num w:numId="25" w16cid:durableId="234052151">
    <w:abstractNumId w:val="0"/>
  </w:num>
  <w:num w:numId="26" w16cid:durableId="949316878">
    <w:abstractNumId w:val="23"/>
  </w:num>
  <w:num w:numId="27" w16cid:durableId="1785031834">
    <w:abstractNumId w:val="5"/>
  </w:num>
  <w:num w:numId="28" w16cid:durableId="1948924365">
    <w:abstractNumId w:val="4"/>
  </w:num>
  <w:num w:numId="29" w16cid:durableId="202443107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8B9"/>
    <w:rsid w:val="000124B6"/>
    <w:rsid w:val="00012642"/>
    <w:rsid w:val="00012C32"/>
    <w:rsid w:val="00012DDB"/>
    <w:rsid w:val="00012E47"/>
    <w:rsid w:val="00012EB7"/>
    <w:rsid w:val="00013DB1"/>
    <w:rsid w:val="00014127"/>
    <w:rsid w:val="000142A2"/>
    <w:rsid w:val="0001455F"/>
    <w:rsid w:val="00014F15"/>
    <w:rsid w:val="0001514F"/>
    <w:rsid w:val="00016E87"/>
    <w:rsid w:val="00020209"/>
    <w:rsid w:val="0002040F"/>
    <w:rsid w:val="000208CA"/>
    <w:rsid w:val="00021AA4"/>
    <w:rsid w:val="00022778"/>
    <w:rsid w:val="00023535"/>
    <w:rsid w:val="00023878"/>
    <w:rsid w:val="00023B70"/>
    <w:rsid w:val="00024405"/>
    <w:rsid w:val="00024A0F"/>
    <w:rsid w:val="00024FF5"/>
    <w:rsid w:val="0002556D"/>
    <w:rsid w:val="0002572B"/>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5FE7"/>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FB"/>
    <w:rsid w:val="000C0261"/>
    <w:rsid w:val="000C029E"/>
    <w:rsid w:val="000C051A"/>
    <w:rsid w:val="000C17E9"/>
    <w:rsid w:val="000C19C2"/>
    <w:rsid w:val="000C25C0"/>
    <w:rsid w:val="000C30DD"/>
    <w:rsid w:val="000C36D0"/>
    <w:rsid w:val="000C37B8"/>
    <w:rsid w:val="000C37D5"/>
    <w:rsid w:val="000C3CBD"/>
    <w:rsid w:val="000C3F01"/>
    <w:rsid w:val="000C4309"/>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6F5"/>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60F7"/>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1A1F"/>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E0F25"/>
    <w:rsid w:val="002E1710"/>
    <w:rsid w:val="002E18EA"/>
    <w:rsid w:val="002E1AFD"/>
    <w:rsid w:val="002E1F9C"/>
    <w:rsid w:val="002E2DE0"/>
    <w:rsid w:val="002E4E0A"/>
    <w:rsid w:val="002E5974"/>
    <w:rsid w:val="002E5B2F"/>
    <w:rsid w:val="002E613E"/>
    <w:rsid w:val="002E6B94"/>
    <w:rsid w:val="002E6CF4"/>
    <w:rsid w:val="002E7618"/>
    <w:rsid w:val="002E79C8"/>
    <w:rsid w:val="002E7BF6"/>
    <w:rsid w:val="002F0BAD"/>
    <w:rsid w:val="002F0F11"/>
    <w:rsid w:val="002F2533"/>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10A9"/>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47F1D"/>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23E"/>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9BD"/>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A11"/>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6AF"/>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96E"/>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5235"/>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7F4"/>
    <w:rsid w:val="006E34A2"/>
    <w:rsid w:val="006E3A57"/>
    <w:rsid w:val="006E3D4A"/>
    <w:rsid w:val="006E481E"/>
    <w:rsid w:val="006E5441"/>
    <w:rsid w:val="006E618E"/>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2E98"/>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81F"/>
    <w:rsid w:val="00795C16"/>
    <w:rsid w:val="00796306"/>
    <w:rsid w:val="00796742"/>
    <w:rsid w:val="00796BE0"/>
    <w:rsid w:val="00796DC0"/>
    <w:rsid w:val="00796DF8"/>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29BA"/>
    <w:rsid w:val="007D46F1"/>
    <w:rsid w:val="007D51DF"/>
    <w:rsid w:val="007D51EF"/>
    <w:rsid w:val="007D55A5"/>
    <w:rsid w:val="007D5CCA"/>
    <w:rsid w:val="007D6BEF"/>
    <w:rsid w:val="007D7726"/>
    <w:rsid w:val="007D7BF8"/>
    <w:rsid w:val="007E02F4"/>
    <w:rsid w:val="007E377A"/>
    <w:rsid w:val="007E5471"/>
    <w:rsid w:val="007E55BD"/>
    <w:rsid w:val="007E6C8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3A19"/>
    <w:rsid w:val="008D47B1"/>
    <w:rsid w:val="008D5B38"/>
    <w:rsid w:val="008D67EC"/>
    <w:rsid w:val="008D6965"/>
    <w:rsid w:val="008D739D"/>
    <w:rsid w:val="008D7D01"/>
    <w:rsid w:val="008E040F"/>
    <w:rsid w:val="008E0AED"/>
    <w:rsid w:val="008E0B33"/>
    <w:rsid w:val="008E0D50"/>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9A9"/>
    <w:rsid w:val="00954D25"/>
    <w:rsid w:val="00955331"/>
    <w:rsid w:val="00955391"/>
    <w:rsid w:val="00956A78"/>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6A50"/>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37B7F"/>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427"/>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6FF"/>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5BC"/>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65C6"/>
    <w:rsid w:val="00B671CC"/>
    <w:rsid w:val="00B67D83"/>
    <w:rsid w:val="00B67E92"/>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13BC"/>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2DFB"/>
    <w:rsid w:val="00B93A22"/>
    <w:rsid w:val="00B93DED"/>
    <w:rsid w:val="00B93F8A"/>
    <w:rsid w:val="00B941FC"/>
    <w:rsid w:val="00B9450B"/>
    <w:rsid w:val="00B94BCE"/>
    <w:rsid w:val="00B94DAC"/>
    <w:rsid w:val="00B955DF"/>
    <w:rsid w:val="00B95A4F"/>
    <w:rsid w:val="00B9611E"/>
    <w:rsid w:val="00B962D2"/>
    <w:rsid w:val="00B965A7"/>
    <w:rsid w:val="00B96A50"/>
    <w:rsid w:val="00B96EB3"/>
    <w:rsid w:val="00B974DC"/>
    <w:rsid w:val="00B97683"/>
    <w:rsid w:val="00B97697"/>
    <w:rsid w:val="00B9786E"/>
    <w:rsid w:val="00B97F32"/>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A7676"/>
    <w:rsid w:val="00CB0420"/>
    <w:rsid w:val="00CB136C"/>
    <w:rsid w:val="00CB1857"/>
    <w:rsid w:val="00CB19CC"/>
    <w:rsid w:val="00CB2AA7"/>
    <w:rsid w:val="00CB3158"/>
    <w:rsid w:val="00CB5AC6"/>
    <w:rsid w:val="00CB61C8"/>
    <w:rsid w:val="00CB6370"/>
    <w:rsid w:val="00CB66FB"/>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3918"/>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286"/>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0F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A44"/>
    <w:rsid w:val="00E23C62"/>
    <w:rsid w:val="00E24320"/>
    <w:rsid w:val="00E24695"/>
    <w:rsid w:val="00E24885"/>
    <w:rsid w:val="00E279EA"/>
    <w:rsid w:val="00E30035"/>
    <w:rsid w:val="00E301F4"/>
    <w:rsid w:val="00E306C6"/>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3F8D"/>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5E9"/>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3493"/>
    <w:rsid w:val="00F14B09"/>
    <w:rsid w:val="00F14E02"/>
    <w:rsid w:val="00F156FD"/>
    <w:rsid w:val="00F15B23"/>
    <w:rsid w:val="00F1622A"/>
    <w:rsid w:val="00F16956"/>
    <w:rsid w:val="00F16C9D"/>
    <w:rsid w:val="00F17117"/>
    <w:rsid w:val="00F174A5"/>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A48"/>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3CA9"/>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97955"/>
    <w:rsid w:val="00FA0093"/>
    <w:rsid w:val="00FA02FC"/>
    <w:rsid w:val="00FA09F0"/>
    <w:rsid w:val="00FA21FF"/>
    <w:rsid w:val="00FA3674"/>
    <w:rsid w:val="00FA3E5E"/>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nhokyo.gr.jp/pub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fa.go.jp/policies/kokoseid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terashima_haruka</cp:lastModifiedBy>
  <cp:revision>49</cp:revision>
  <cp:lastPrinted>2026-05-19T08:07:00Z</cp:lastPrinted>
  <dcterms:created xsi:type="dcterms:W3CDTF">2020-04-02T13:05:00Z</dcterms:created>
  <dcterms:modified xsi:type="dcterms:W3CDTF">2026-05-20T07:21:00Z</dcterms:modified>
</cp:coreProperties>
</file>